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53F4411"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BC494B">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BC494B">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5E7C5ED9" w:rsidR="006604E6" w:rsidRDefault="00D27E2B">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Earth and Space Science</w:t>
      </w:r>
      <w:r w:rsidR="004440E7">
        <w:rPr>
          <w:rFonts w:ascii="Open Sans ExtraBold" w:eastAsia="Open Sans ExtraBold" w:hAnsi="Open Sans ExtraBold" w:cs="Open Sans ExtraBold"/>
          <w:b/>
          <w:smallCaps/>
          <w:color w:val="0070C0"/>
          <w:sz w:val="56"/>
          <w:szCs w:val="56"/>
        </w:rPr>
        <w:t>,</w:t>
      </w:r>
    </w:p>
    <w:p w14:paraId="00000005" w14:textId="3E80B569" w:rsidR="006604E6" w:rsidRDefault="00D27E2B">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6-12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1AF50EBD" w:rsidR="006604E6" w:rsidRDefault="0085522C">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w:t>
      </w:r>
      <w:r w:rsidR="00D27E2B">
        <w:rPr>
          <w:rFonts w:ascii="Open Sans Light" w:eastAsia="Open Sans Light" w:hAnsi="Open Sans Light" w:cs="Open Sans Light"/>
          <w:sz w:val="22"/>
          <w:szCs w:val="22"/>
        </w:rPr>
        <w:t>6-12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85522C">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47231D63" w14:textId="77777777" w:rsidR="00BC494B" w:rsidRDefault="00BC494B" w:rsidP="00BC494B">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292B374F" w14:textId="77777777" w:rsidR="00BC494B" w:rsidRDefault="0085522C" w:rsidP="00BC494B">
      <w:pPr>
        <w:rPr>
          <w:rFonts w:ascii="Open Sans Light" w:eastAsia="Open Sans Light" w:hAnsi="Open Sans Light" w:cs="Open Sans Light"/>
          <w:sz w:val="22"/>
          <w:szCs w:val="22"/>
        </w:rPr>
      </w:pPr>
      <w:sdt>
        <w:sdtPr>
          <w:tag w:val="goog_rdk_1"/>
          <w:id w:val="1864623776"/>
        </w:sdtPr>
        <w:sdtEndPr/>
        <w:sdtContent>
          <w:r w:rsidR="00BC494B">
            <w:rPr>
              <w:rFonts w:ascii="Segoe UI Symbol" w:eastAsia="Arial Unicode MS" w:hAnsi="Segoe UI Symbol" w:cs="Segoe UI Symbol"/>
              <w:sz w:val="22"/>
              <w:szCs w:val="22"/>
            </w:rPr>
            <w:t>☐</w:t>
          </w:r>
        </w:sdtContent>
      </w:sdt>
      <w:r w:rsidR="00BC494B">
        <w:rPr>
          <w:rFonts w:ascii="Open Sans Light" w:eastAsia="Open Sans Light" w:hAnsi="Open Sans Light" w:cs="Open Sans Light"/>
          <w:sz w:val="22"/>
          <w:szCs w:val="22"/>
        </w:rPr>
        <w:t xml:space="preserve">  Only program in this license/endorsement area offered by the EPP</w:t>
      </w:r>
    </w:p>
    <w:p w14:paraId="79F58B17" w14:textId="77777777" w:rsidR="00BC494B" w:rsidRDefault="0085522C" w:rsidP="00BC494B">
      <w:pPr>
        <w:rPr>
          <w:rFonts w:ascii="Open Sans Light" w:eastAsia="Open Sans Light" w:hAnsi="Open Sans Light" w:cs="Open Sans Light"/>
          <w:sz w:val="22"/>
          <w:szCs w:val="22"/>
        </w:rPr>
      </w:pPr>
      <w:sdt>
        <w:sdtPr>
          <w:tag w:val="goog_rdk_1"/>
          <w:id w:val="-510370631"/>
        </w:sdtPr>
        <w:sdtEndPr/>
        <w:sdtContent>
          <w:r w:rsidR="00BC494B">
            <w:rPr>
              <w:rFonts w:ascii="Segoe UI Symbol" w:eastAsia="Arial Unicode MS" w:hAnsi="Segoe UI Symbol" w:cs="Segoe UI Symbol"/>
              <w:sz w:val="22"/>
              <w:szCs w:val="22"/>
            </w:rPr>
            <w:t>☐</w:t>
          </w:r>
        </w:sdtContent>
      </w:sdt>
      <w:r w:rsidR="00BC494B">
        <w:rPr>
          <w:rFonts w:ascii="Open Sans Light" w:eastAsia="Open Sans Light" w:hAnsi="Open Sans Light" w:cs="Open Sans Light"/>
          <w:sz w:val="22"/>
          <w:szCs w:val="22"/>
        </w:rPr>
        <w:t xml:space="preserve">  Has a distinct plan of study from other programs in the same license/endorsement area offered by the EPP</w:t>
      </w:r>
    </w:p>
    <w:p w14:paraId="5BE5F6CD" w14:textId="77777777" w:rsidR="00BC494B" w:rsidRDefault="0085522C" w:rsidP="00BC494B">
      <w:pPr>
        <w:rPr>
          <w:rFonts w:ascii="Open Sans Light" w:eastAsia="Open Sans Light" w:hAnsi="Open Sans Light" w:cs="Open Sans Light"/>
          <w:sz w:val="22"/>
          <w:szCs w:val="22"/>
        </w:rPr>
      </w:pPr>
      <w:sdt>
        <w:sdtPr>
          <w:tag w:val="goog_rdk_1"/>
          <w:id w:val="-485159196"/>
        </w:sdtPr>
        <w:sdtEndPr/>
        <w:sdtContent>
          <w:r w:rsidR="00BC494B">
            <w:rPr>
              <w:rFonts w:ascii="Segoe UI Symbol" w:eastAsia="Arial Unicode MS" w:hAnsi="Segoe UI Symbol" w:cs="Segoe UI Symbol"/>
              <w:sz w:val="22"/>
              <w:szCs w:val="22"/>
            </w:rPr>
            <w:t>☐</w:t>
          </w:r>
        </w:sdtContent>
      </w:sdt>
      <w:r w:rsidR="00BC494B">
        <w:rPr>
          <w:rFonts w:ascii="Open Sans Light" w:eastAsia="Open Sans Light" w:hAnsi="Open Sans Light" w:cs="Open Sans Light"/>
          <w:sz w:val="22"/>
          <w:szCs w:val="22"/>
        </w:rPr>
        <w:t xml:space="preserve">  Has an Innovative/Experimental format: _(identify)______________________________________________</w:t>
      </w:r>
    </w:p>
    <w:p w14:paraId="203A03A5" w14:textId="77777777" w:rsidR="00BC494B" w:rsidRDefault="0085522C" w:rsidP="00BC494B">
      <w:pPr>
        <w:rPr>
          <w:rFonts w:ascii="Open Sans Light" w:eastAsia="Open Sans Light" w:hAnsi="Open Sans Light" w:cs="Open Sans Light"/>
          <w:b/>
          <w:sz w:val="22"/>
          <w:szCs w:val="22"/>
        </w:rPr>
      </w:pPr>
      <w:sdt>
        <w:sdtPr>
          <w:tag w:val="goog_rdk_1"/>
          <w:id w:val="-2006579158"/>
        </w:sdtPr>
        <w:sdtEndPr/>
        <w:sdtContent>
          <w:r w:rsidR="00BC494B">
            <w:rPr>
              <w:rFonts w:ascii="Segoe UI Symbol" w:eastAsia="Arial Unicode MS" w:hAnsi="Segoe UI Symbol" w:cs="Segoe UI Symbol"/>
              <w:sz w:val="22"/>
              <w:szCs w:val="22"/>
            </w:rPr>
            <w:t>☐</w:t>
          </w:r>
        </w:sdtContent>
      </w:sdt>
      <w:r w:rsidR="00BC494B">
        <w:rPr>
          <w:rFonts w:ascii="Open Sans Light" w:eastAsia="Open Sans Light" w:hAnsi="Open Sans Light" w:cs="Open Sans Light"/>
          <w:sz w:val="22"/>
          <w:szCs w:val="22"/>
        </w:rPr>
        <w:t xml:space="preserve">  Other distinctive feature: _(identify)______________________________________________</w:t>
      </w:r>
    </w:p>
    <w:p w14:paraId="6CAA9D5E" w14:textId="77777777" w:rsidR="00BC494B" w:rsidRDefault="00BC494B" w:rsidP="00BC494B">
      <w:pPr>
        <w:rPr>
          <w:rFonts w:ascii="Open Sans Light" w:eastAsia="Open Sans Light" w:hAnsi="Open Sans Light" w:cs="Open Sans Light"/>
          <w:b/>
          <w:sz w:val="22"/>
          <w:szCs w:val="22"/>
        </w:rPr>
      </w:pPr>
    </w:p>
    <w:p w14:paraId="0000001C"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0000001D"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0000001E"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0000001F"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00000020"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00000021" w14:textId="77777777" w:rsidR="006604E6" w:rsidRDefault="006604E6">
      <w:pPr>
        <w:rPr>
          <w:rFonts w:ascii="Open Sans Light" w:eastAsia="Open Sans Light" w:hAnsi="Open Sans Light" w:cs="Open Sans Light"/>
          <w:b/>
          <w:sz w:val="22"/>
          <w:szCs w:val="22"/>
        </w:rPr>
      </w:pPr>
    </w:p>
    <w:p w14:paraId="518C4E11" w14:textId="77777777" w:rsidR="0085522C" w:rsidRDefault="004440E7" w:rsidP="0085522C">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See the </w:t>
      </w:r>
      <w:r w:rsidR="000D3AF2">
        <w:rPr>
          <w:rFonts w:ascii="Open Sans Light" w:eastAsia="Open Sans Light" w:hAnsi="Open Sans Light" w:cs="Open Sans Light"/>
          <w:b/>
          <w:sz w:val="22"/>
          <w:szCs w:val="22"/>
        </w:rPr>
        <w:t>template instructions for directions on completing the form</w:t>
      </w:r>
      <w:r w:rsidR="0085522C">
        <w:rPr>
          <w:rFonts w:ascii="Open Sans Light" w:eastAsia="Open Sans Light" w:hAnsi="Open Sans Light" w:cs="Open Sans Light"/>
          <w:b/>
          <w:sz w:val="22"/>
          <w:szCs w:val="22"/>
        </w:rPr>
        <w:t>:</w:t>
      </w:r>
    </w:p>
    <w:p w14:paraId="0E9BC1B6" w14:textId="77777777" w:rsidR="0085522C" w:rsidRPr="001339EC" w:rsidRDefault="0085522C" w:rsidP="0085522C">
      <w:pPr>
        <w:rPr>
          <w:rFonts w:ascii="Open Sans Light" w:eastAsia="Open Sans Light" w:hAnsi="Open Sans Light" w:cs="Open Sans Light"/>
          <w:b/>
          <w:color w:val="365F91" w:themeColor="accent1" w:themeShade="BF"/>
          <w:sz w:val="22"/>
          <w:szCs w:val="22"/>
        </w:rPr>
      </w:pPr>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p w14:paraId="00000025" w14:textId="08632D4D" w:rsidR="006604E6" w:rsidRDefault="006604E6" w:rsidP="0085522C">
      <w:pP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3F5B41DB" w14:textId="2B0A4850" w:rsidR="00765ADD" w:rsidRDefault="00765ADD" w:rsidP="00765ADD">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3143A0FD" w:rsidR="006604E6" w:rsidRDefault="000D3AF2">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Earth and Space Science 6-12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0C2B93F6" w14:textId="77777777" w:rsidR="000D3AF2" w:rsidRDefault="00D27E2B" w:rsidP="001548B9">
            <w:pPr>
              <w:tabs>
                <w:tab w:val="left" w:pos="356"/>
              </w:tabs>
              <w:rPr>
                <w:rFonts w:ascii="Open Sans Light" w:eastAsia="Open Sans Light" w:hAnsi="Open Sans Light" w:cs="Open Sans Light"/>
                <w:b/>
                <w:sz w:val="20"/>
                <w:szCs w:val="20"/>
              </w:rPr>
            </w:pPr>
            <w:r w:rsidRPr="00D27E2B">
              <w:rPr>
                <w:rFonts w:ascii="Open Sans Light" w:eastAsia="Open Sans Light" w:hAnsi="Open Sans Light" w:cs="Open Sans Light"/>
                <w:b/>
                <w:sz w:val="20"/>
                <w:szCs w:val="20"/>
              </w:rPr>
              <w:t xml:space="preserve">Standard 1: Content Pedagogy: </w:t>
            </w:r>
          </w:p>
          <w:p w14:paraId="00000047" w14:textId="0BF68A7D" w:rsidR="001548B9" w:rsidRPr="000D3AF2" w:rsidRDefault="00D27E2B" w:rsidP="001548B9">
            <w:pPr>
              <w:tabs>
                <w:tab w:val="left" w:pos="356"/>
              </w:tabs>
              <w:rPr>
                <w:rFonts w:ascii="Open Sans Light" w:eastAsia="Open Sans Light" w:hAnsi="Open Sans Light" w:cs="Open Sans Light"/>
                <w:b/>
                <w:sz w:val="20"/>
                <w:szCs w:val="20"/>
              </w:rPr>
            </w:pPr>
            <w:r w:rsidRPr="000D3AF2">
              <w:rPr>
                <w:rFonts w:ascii="Open Sans Light" w:eastAsia="Open Sans Light" w:hAnsi="Open Sans Light" w:cs="Open Sans Light"/>
                <w:b/>
                <w:sz w:val="20"/>
                <w:szCs w:val="20"/>
              </w:rPr>
              <w:t>Effective science teachers understand how students learn and develop science concepts and practices. They incorporate disciplinary core ideas, scientific and engineering practices, and crosscutting concepts into instruction.</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7BD544BC" w14:textId="77777777" w:rsidR="000D3AF2" w:rsidRDefault="000D3AF2" w:rsidP="001548B9">
            <w:pPr>
              <w:tabs>
                <w:tab w:val="left" w:pos="356"/>
              </w:tabs>
              <w:rPr>
                <w:rFonts w:ascii="Open Sans Light" w:eastAsia="Open Sans Light" w:hAnsi="Open Sans Light" w:cs="Open Sans Light"/>
                <w:b/>
                <w:sz w:val="20"/>
                <w:szCs w:val="20"/>
              </w:rPr>
            </w:pPr>
            <w:r w:rsidRPr="000D3AF2">
              <w:rPr>
                <w:rFonts w:ascii="Open Sans Light" w:eastAsia="Open Sans Light" w:hAnsi="Open Sans Light" w:cs="Open Sans Light"/>
                <w:b/>
                <w:sz w:val="20"/>
                <w:szCs w:val="20"/>
              </w:rPr>
              <w:t xml:space="preserve">Standard 2: Learning Environments: </w:t>
            </w:r>
          </w:p>
          <w:p w14:paraId="00000049" w14:textId="59F735BC" w:rsidR="001548B9" w:rsidRDefault="000D3AF2" w:rsidP="001548B9">
            <w:pPr>
              <w:tabs>
                <w:tab w:val="left" w:pos="356"/>
              </w:tabs>
              <w:rPr>
                <w:rFonts w:ascii="Open Sans Light" w:eastAsia="Open Sans Light" w:hAnsi="Open Sans Light" w:cs="Open Sans Light"/>
                <w:b/>
                <w:sz w:val="20"/>
                <w:szCs w:val="20"/>
              </w:rPr>
            </w:pPr>
            <w:r w:rsidRPr="000D3AF2">
              <w:rPr>
                <w:rFonts w:ascii="Open Sans Light" w:eastAsia="Open Sans Light" w:hAnsi="Open Sans Light" w:cs="Open Sans Light"/>
                <w:b/>
                <w:sz w:val="20"/>
                <w:szCs w:val="20"/>
              </w:rPr>
              <w:t>Teachers work with students and others to create and manage environments that support learning.</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5C241FDB" w14:textId="77777777" w:rsidR="00EA5E52" w:rsidRDefault="00EA5E52" w:rsidP="001548B9">
            <w:pPr>
              <w:tabs>
                <w:tab w:val="left" w:pos="356"/>
              </w:tabs>
              <w:rPr>
                <w:rFonts w:ascii="Open Sans Light" w:eastAsia="Open Sans Light" w:hAnsi="Open Sans Light" w:cs="Open Sans Light"/>
                <w:b/>
                <w:sz w:val="20"/>
                <w:szCs w:val="20"/>
              </w:rPr>
            </w:pPr>
            <w:r w:rsidRPr="00EA5E52">
              <w:rPr>
                <w:rFonts w:ascii="Open Sans Light" w:eastAsia="Open Sans Light" w:hAnsi="Open Sans Light" w:cs="Open Sans Light"/>
                <w:b/>
                <w:sz w:val="20"/>
                <w:szCs w:val="20"/>
              </w:rPr>
              <w:t xml:space="preserve">Standard 3: Safety: </w:t>
            </w:r>
          </w:p>
          <w:p w14:paraId="0000004B" w14:textId="575111C9" w:rsidR="001548B9" w:rsidRDefault="00EA5E52" w:rsidP="001548B9">
            <w:pPr>
              <w:tabs>
                <w:tab w:val="left" w:pos="356"/>
              </w:tabs>
              <w:rPr>
                <w:rFonts w:ascii="Open Sans Light" w:eastAsia="Open Sans Light" w:hAnsi="Open Sans Light" w:cs="Open Sans Light"/>
                <w:b/>
                <w:sz w:val="20"/>
                <w:szCs w:val="20"/>
              </w:rPr>
            </w:pPr>
            <w:r w:rsidRPr="00EA5E52">
              <w:rPr>
                <w:rFonts w:ascii="Open Sans Light" w:eastAsia="Open Sans Light" w:hAnsi="Open Sans Light" w:cs="Open Sans Light"/>
                <w:b/>
                <w:sz w:val="20"/>
                <w:szCs w:val="20"/>
              </w:rPr>
              <w:t>Effective teachers of science demonstrate and implement safety procedures, material safety practices, and the ethical treatment and use of living organisms (appropriate to their area of licensure).</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0000004D" w14:textId="4B4D2492" w:rsidR="006604E6" w:rsidRDefault="00EA5E52">
            <w:pPr>
              <w:tabs>
                <w:tab w:val="left" w:pos="356"/>
              </w:tabs>
              <w:rPr>
                <w:rFonts w:ascii="Open Sans Light" w:eastAsia="Open Sans Light" w:hAnsi="Open Sans Light" w:cs="Open Sans Light"/>
                <w:b/>
                <w:sz w:val="20"/>
                <w:szCs w:val="20"/>
              </w:rPr>
            </w:pPr>
            <w:r w:rsidRPr="00EA5E52">
              <w:rPr>
                <w:rFonts w:ascii="Open Sans Light" w:eastAsia="Open Sans Light" w:hAnsi="Open Sans Light" w:cs="Open Sans Light"/>
                <w:b/>
                <w:sz w:val="20"/>
                <w:szCs w:val="20"/>
              </w:rPr>
              <w:t>Standard 4: Impact on Student Learning: Science teachers provide evidence that students’ understanding of disciplinary core ideas, science and engineering practices, and crosscutting concepts have increased in sophistication as a result of instruction. Candidates provide evidence representative of the entire population they teach.</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5C133AB5" w14:textId="77777777" w:rsidR="00EA5E52" w:rsidRDefault="00EA5E52">
            <w:pPr>
              <w:tabs>
                <w:tab w:val="left" w:pos="356"/>
              </w:tabs>
              <w:rPr>
                <w:rFonts w:ascii="Open Sans Light" w:eastAsia="Open Sans Light" w:hAnsi="Open Sans Light" w:cs="Open Sans Light"/>
                <w:b/>
                <w:sz w:val="20"/>
                <w:szCs w:val="20"/>
              </w:rPr>
            </w:pPr>
            <w:r w:rsidRPr="00EA5E52">
              <w:rPr>
                <w:rFonts w:ascii="Open Sans Light" w:eastAsia="Open Sans Light" w:hAnsi="Open Sans Light" w:cs="Open Sans Light"/>
                <w:b/>
                <w:sz w:val="20"/>
                <w:szCs w:val="20"/>
              </w:rPr>
              <w:t xml:space="preserve">Standard 5: Professional Knowledge and Skills: </w:t>
            </w:r>
          </w:p>
          <w:p w14:paraId="0000004F" w14:textId="16231CC4" w:rsidR="006604E6" w:rsidRDefault="00EA5E52">
            <w:pPr>
              <w:tabs>
                <w:tab w:val="left" w:pos="356"/>
              </w:tabs>
              <w:rPr>
                <w:rFonts w:ascii="Open Sans Light" w:eastAsia="Open Sans Light" w:hAnsi="Open Sans Light" w:cs="Open Sans Light"/>
                <w:b/>
                <w:sz w:val="20"/>
                <w:szCs w:val="20"/>
              </w:rPr>
            </w:pPr>
            <w:r w:rsidRPr="00EA5E52">
              <w:rPr>
                <w:rFonts w:ascii="Open Sans Light" w:eastAsia="Open Sans Light" w:hAnsi="Open Sans Light" w:cs="Open Sans Light"/>
                <w:b/>
                <w:sz w:val="20"/>
                <w:szCs w:val="20"/>
              </w:rPr>
              <w:t xml:space="preserve">Effective science teachers are aware of and engage in professional development </w:t>
            </w:r>
            <w:r w:rsidRPr="00EA5E52">
              <w:rPr>
                <w:rFonts w:ascii="Open Sans Light" w:eastAsia="Open Sans Light" w:hAnsi="Open Sans Light" w:cs="Open Sans Light"/>
                <w:b/>
                <w:sz w:val="20"/>
                <w:szCs w:val="20"/>
              </w:rPr>
              <w:lastRenderedPageBreak/>
              <w:t>opportunities to continually improve their knowledge and understanding of science content and pedagogy. They conduct themselves as part of the science education community.</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613BF573" w14:textId="77777777" w:rsidR="00EA5E52" w:rsidRDefault="00EA5E52">
            <w:pPr>
              <w:tabs>
                <w:tab w:val="left" w:pos="356"/>
              </w:tabs>
              <w:rPr>
                <w:rFonts w:ascii="Open Sans Light" w:eastAsia="Open Sans Light" w:hAnsi="Open Sans Light" w:cs="Open Sans Light"/>
                <w:b/>
                <w:sz w:val="20"/>
                <w:szCs w:val="20"/>
              </w:rPr>
            </w:pPr>
            <w:r w:rsidRPr="00EA5E52">
              <w:rPr>
                <w:rFonts w:ascii="Open Sans Light" w:eastAsia="Open Sans Light" w:hAnsi="Open Sans Light" w:cs="Open Sans Light"/>
                <w:b/>
                <w:sz w:val="20"/>
                <w:szCs w:val="20"/>
              </w:rPr>
              <w:t xml:space="preserve">Standard 6: Engineering, Technology, and the Applications of Science: </w:t>
            </w:r>
          </w:p>
          <w:p w14:paraId="00000051" w14:textId="728B334D" w:rsidR="006604E6" w:rsidRDefault="00EA5E52">
            <w:pPr>
              <w:tabs>
                <w:tab w:val="left" w:pos="356"/>
              </w:tabs>
              <w:rPr>
                <w:rFonts w:ascii="Open Sans Light" w:eastAsia="Open Sans Light" w:hAnsi="Open Sans Light" w:cs="Open Sans Light"/>
                <w:b/>
                <w:sz w:val="20"/>
                <w:szCs w:val="20"/>
              </w:rPr>
            </w:pPr>
            <w:r w:rsidRPr="00EA5E52">
              <w:rPr>
                <w:rFonts w:ascii="Open Sans Light" w:eastAsia="Open Sans Light" w:hAnsi="Open Sans Light" w:cs="Open Sans Light"/>
                <w:b/>
                <w:sz w:val="20"/>
                <w:szCs w:val="20"/>
              </w:rPr>
              <w:t>The teacher demonstrates an understanding of concepts and practices of engineering, technology, and the applications of science in developing instruction for students.</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00000053" w14:textId="6AD084E0" w:rsidR="006604E6" w:rsidRDefault="00EA5E52">
            <w:pPr>
              <w:tabs>
                <w:tab w:val="left" w:pos="356"/>
              </w:tabs>
              <w:rPr>
                <w:rFonts w:ascii="Open Sans Light" w:eastAsia="Open Sans Light" w:hAnsi="Open Sans Light" w:cs="Open Sans Light"/>
                <w:b/>
                <w:sz w:val="20"/>
                <w:szCs w:val="20"/>
              </w:rPr>
            </w:pPr>
            <w:r w:rsidRPr="00EA5E52">
              <w:rPr>
                <w:rFonts w:ascii="Open Sans Light" w:eastAsia="Open Sans Light" w:hAnsi="Open Sans Light" w:cs="Open Sans Light"/>
                <w:b/>
                <w:sz w:val="20"/>
                <w:szCs w:val="20"/>
              </w:rPr>
              <w:t>Standard 7: Earth’s Place in the Universe: Origin, evolution and properties of the Universe. Effective science teachers demonstrate an understanding of the properties of the Universe, the Earth’s place within the Universe, and origin and evolution of the Universe.</w:t>
            </w:r>
          </w:p>
        </w:tc>
        <w:tc>
          <w:tcPr>
            <w:tcW w:w="4725" w:type="dxa"/>
          </w:tcPr>
          <w:p w14:paraId="00000054" w14:textId="77777777" w:rsidR="006604E6" w:rsidRDefault="006604E6">
            <w:pPr>
              <w:rPr>
                <w:rFonts w:ascii="Open Sans Light" w:eastAsia="Open Sans Light" w:hAnsi="Open Sans Light" w:cs="Open Sans Light"/>
              </w:rPr>
            </w:pPr>
          </w:p>
        </w:tc>
      </w:tr>
      <w:tr w:rsidR="006604E6" w14:paraId="7837D23F" w14:textId="77777777">
        <w:tc>
          <w:tcPr>
            <w:tcW w:w="4320" w:type="dxa"/>
          </w:tcPr>
          <w:p w14:paraId="00000055" w14:textId="78CFFF15" w:rsidR="006604E6" w:rsidRDefault="00EA5E52">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EA5E52">
              <w:rPr>
                <w:rFonts w:ascii="Open Sans Light" w:eastAsia="Open Sans Light" w:hAnsi="Open Sans Light" w:cs="Open Sans Light"/>
                <w:b/>
                <w:color w:val="000000"/>
                <w:sz w:val="20"/>
                <w:szCs w:val="20"/>
              </w:rPr>
              <w:t>Standard 8: Earth’s Materials and Systems: The teacher of earth and space science demonstrates an understanding of the energy sources, processes and cycles within the Earth System.</w:t>
            </w:r>
          </w:p>
        </w:tc>
        <w:tc>
          <w:tcPr>
            <w:tcW w:w="4725" w:type="dxa"/>
          </w:tcPr>
          <w:p w14:paraId="00000056" w14:textId="77777777" w:rsidR="006604E6" w:rsidRDefault="006604E6">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85522C">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bookmarkStart w:id="0" w:name="_Hlk178863260"/>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7419D3C6" w14:textId="77777777" w:rsidR="00D27E2B" w:rsidRPr="000D3AF2" w:rsidRDefault="00D27E2B" w:rsidP="00FA7060">
            <w:pPr>
              <w:shd w:val="clear" w:color="auto" w:fill="FFFFFF"/>
              <w:tabs>
                <w:tab w:val="left" w:pos="360"/>
              </w:tabs>
              <w:rPr>
                <w:rFonts w:ascii="Open Sans Light" w:eastAsia="Open Sans Light" w:hAnsi="Open Sans Light" w:cs="Open Sans Light"/>
                <w:b/>
                <w:sz w:val="22"/>
                <w:szCs w:val="22"/>
              </w:rPr>
            </w:pPr>
            <w:r w:rsidRPr="000D3AF2">
              <w:rPr>
                <w:rFonts w:ascii="Open Sans Light" w:eastAsia="Open Sans Light" w:hAnsi="Open Sans Light" w:cs="Open Sans Light"/>
                <w:b/>
                <w:sz w:val="22"/>
                <w:szCs w:val="22"/>
              </w:rPr>
              <w:t>Standard 1: Content Pedagogy:</w:t>
            </w:r>
          </w:p>
          <w:p w14:paraId="00000070" w14:textId="418706BA" w:rsidR="006604E6" w:rsidRPr="000D3AF2" w:rsidRDefault="00D27E2B" w:rsidP="00FA7060">
            <w:pPr>
              <w:shd w:val="clear" w:color="auto" w:fill="FFFFFF"/>
              <w:tabs>
                <w:tab w:val="left" w:pos="360"/>
              </w:tabs>
              <w:rPr>
                <w:rFonts w:ascii="Open Sans Light" w:eastAsia="Open Sans Light" w:hAnsi="Open Sans Light" w:cs="Open Sans Light"/>
                <w:bCs/>
                <w:sz w:val="22"/>
                <w:szCs w:val="22"/>
              </w:rPr>
            </w:pPr>
            <w:r w:rsidRPr="000D3AF2">
              <w:rPr>
                <w:rFonts w:ascii="Open Sans Light" w:eastAsia="Open Sans Light" w:hAnsi="Open Sans Light" w:cs="Open Sans Light"/>
                <w:bCs/>
                <w:sz w:val="22"/>
                <w:szCs w:val="22"/>
              </w:rPr>
              <w:t>Effective science teachers understand how students learn and develop science concepts and practices. They incorporate disciplinary core ideas, scientific and engineering practices, and crosscutting concepts into instruction.</w:t>
            </w:r>
          </w:p>
          <w:p w14:paraId="3FA4DB9F" w14:textId="77777777" w:rsidR="000D3AF2" w:rsidRPr="000D3AF2" w:rsidRDefault="000D3AF2" w:rsidP="00FA7060">
            <w:pPr>
              <w:shd w:val="clear" w:color="auto" w:fill="FFFFFF"/>
              <w:tabs>
                <w:tab w:val="left" w:pos="360"/>
              </w:tabs>
              <w:rPr>
                <w:rFonts w:ascii="Open Sans Light" w:eastAsia="Open Sans Light" w:hAnsi="Open Sans Light" w:cs="Open Sans Light"/>
                <w:bCs/>
                <w:sz w:val="22"/>
                <w:szCs w:val="22"/>
              </w:rPr>
            </w:pPr>
          </w:p>
          <w:p w14:paraId="00000075" w14:textId="4CF69DBB" w:rsidR="006604E6" w:rsidRPr="000D3AF2"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0D3AF2">
              <w:rPr>
                <w:rFonts w:ascii="Open Sans Light" w:eastAsia="Open Sans Light" w:hAnsi="Open Sans Light" w:cs="Open Sans Light"/>
                <w:b/>
                <w:sz w:val="22"/>
                <w:szCs w:val="22"/>
              </w:rPr>
              <w:t>Evidence for meeting the standard:</w:t>
            </w:r>
          </w:p>
          <w:p w14:paraId="00000077" w14:textId="77777777" w:rsidR="006604E6" w:rsidRPr="000D3AF2" w:rsidRDefault="0085522C">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0D3AF2">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D27E2B" w:rsidRDefault="006604E6">
      <w:pPr>
        <w:rPr>
          <w:rFonts w:ascii="Open Sans Light" w:eastAsia="Open Sans Light" w:hAnsi="Open Sans Light" w:cs="Open Sans Light"/>
          <w:b/>
          <w:sz w:val="22"/>
          <w:szCs w:val="22"/>
        </w:rPr>
      </w:pPr>
      <w:bookmarkStart w:id="1" w:name="_Hlk178862361"/>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D27E2B" w14:paraId="640FD914" w14:textId="77777777">
        <w:tc>
          <w:tcPr>
            <w:tcW w:w="9360" w:type="dxa"/>
          </w:tcPr>
          <w:p w14:paraId="3B3DC553" w14:textId="77777777" w:rsidR="000D3AF2" w:rsidRPr="000D3AF2" w:rsidRDefault="000D3AF2" w:rsidP="00820AB3">
            <w:pPr>
              <w:shd w:val="clear" w:color="auto" w:fill="FFFFFF"/>
              <w:tabs>
                <w:tab w:val="left" w:pos="360"/>
              </w:tabs>
              <w:rPr>
                <w:rFonts w:ascii="Open Sans Light" w:eastAsia="Open Sans Light" w:hAnsi="Open Sans Light" w:cs="Open Sans Light"/>
                <w:b/>
                <w:bCs/>
                <w:sz w:val="22"/>
                <w:szCs w:val="22"/>
              </w:rPr>
            </w:pPr>
            <w:bookmarkStart w:id="2" w:name="_Hlk178862196"/>
            <w:bookmarkEnd w:id="0"/>
            <w:r w:rsidRPr="000D3AF2">
              <w:rPr>
                <w:rFonts w:ascii="Open Sans Light" w:eastAsia="Open Sans Light" w:hAnsi="Open Sans Light" w:cs="Open Sans Light"/>
                <w:b/>
                <w:bCs/>
                <w:sz w:val="22"/>
                <w:szCs w:val="22"/>
              </w:rPr>
              <w:t xml:space="preserve">Standard 2: Learning Environments: </w:t>
            </w:r>
          </w:p>
          <w:p w14:paraId="0000007A" w14:textId="46FEE256" w:rsidR="006604E6" w:rsidRPr="00D27E2B" w:rsidRDefault="000D3AF2" w:rsidP="00820AB3">
            <w:pPr>
              <w:shd w:val="clear" w:color="auto" w:fill="FFFFFF"/>
              <w:tabs>
                <w:tab w:val="left" w:pos="360"/>
              </w:tabs>
              <w:rPr>
                <w:rFonts w:ascii="Open Sans Light" w:eastAsia="Open Sans Light" w:hAnsi="Open Sans Light" w:cs="Open Sans Light"/>
                <w:sz w:val="22"/>
                <w:szCs w:val="22"/>
              </w:rPr>
            </w:pPr>
            <w:r w:rsidRPr="000D3AF2">
              <w:rPr>
                <w:rFonts w:ascii="Open Sans Light" w:eastAsia="Open Sans Light" w:hAnsi="Open Sans Light" w:cs="Open Sans Light"/>
                <w:sz w:val="22"/>
                <w:szCs w:val="22"/>
              </w:rPr>
              <w:t>Teachers work with students and others to create and manage environments that support learning.</w:t>
            </w:r>
          </w:p>
          <w:p w14:paraId="0000007B" w14:textId="77777777" w:rsidR="006604E6" w:rsidRPr="00D27E2B" w:rsidRDefault="006604E6" w:rsidP="00FA7060">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D27E2B"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D27E2B">
              <w:rPr>
                <w:rFonts w:ascii="Open Sans Light" w:eastAsia="Open Sans Light" w:hAnsi="Open Sans Light" w:cs="Open Sans Light"/>
                <w:b/>
                <w:sz w:val="22"/>
                <w:szCs w:val="22"/>
              </w:rPr>
              <w:lastRenderedPageBreak/>
              <w:t>Evidence for meeting the standard:</w:t>
            </w:r>
          </w:p>
          <w:p w14:paraId="00000082" w14:textId="7727EA87" w:rsidR="006604E6" w:rsidRPr="00D27E2B" w:rsidRDefault="0085522C"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D27E2B">
              <w:rPr>
                <w:rFonts w:ascii="Open Sans Light" w:eastAsia="Open Sans Light" w:hAnsi="Open Sans Light" w:cs="Open Sans Light"/>
                <w:sz w:val="22"/>
                <w:szCs w:val="22"/>
              </w:rPr>
              <w:t>[enter text here]</w:t>
            </w:r>
          </w:p>
        </w:tc>
      </w:tr>
    </w:tbl>
    <w:p w14:paraId="637D4CC9" w14:textId="77777777" w:rsidR="00AA1246" w:rsidRPr="00D27E2B" w:rsidRDefault="00AA1246">
      <w:pPr>
        <w:rPr>
          <w:rFonts w:ascii="Open Sans Light" w:eastAsia="Open Sans Light" w:hAnsi="Open Sans Light" w:cs="Open Sans Light"/>
          <w:b/>
          <w:sz w:val="22"/>
          <w:szCs w:val="22"/>
        </w:rPr>
      </w:pPr>
    </w:p>
    <w:p w14:paraId="781A744A" w14:textId="77777777" w:rsidR="00AA1246" w:rsidRPr="00AA1246" w:rsidRDefault="00AA1246" w:rsidP="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bookmarkEnd w:id="2"/>
    <w:bookmarkEnd w:id="1"/>
    <w:p w14:paraId="20F103B7" w14:textId="77777777" w:rsidR="000D3AF2" w:rsidRDefault="000D3AF2" w:rsidP="000D3AF2">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D3AF2" w:rsidRPr="007F1B6D" w14:paraId="658A87A9" w14:textId="77777777" w:rsidTr="00B450E0">
        <w:tc>
          <w:tcPr>
            <w:tcW w:w="9360" w:type="dxa"/>
          </w:tcPr>
          <w:p w14:paraId="1BC4000E" w14:textId="77777777" w:rsidR="00EA5E52" w:rsidRDefault="00EA5E52" w:rsidP="00B450E0">
            <w:pPr>
              <w:shd w:val="clear" w:color="auto" w:fill="FFFFFF"/>
              <w:tabs>
                <w:tab w:val="left" w:pos="360"/>
              </w:tabs>
              <w:rPr>
                <w:rFonts w:ascii="Open Sans Light" w:eastAsia="Open Sans Light" w:hAnsi="Open Sans Light" w:cs="Open Sans Light"/>
                <w:b/>
                <w:sz w:val="22"/>
                <w:szCs w:val="22"/>
              </w:rPr>
            </w:pPr>
            <w:r w:rsidRPr="00EA5E52">
              <w:rPr>
                <w:rFonts w:ascii="Open Sans Light" w:eastAsia="Open Sans Light" w:hAnsi="Open Sans Light" w:cs="Open Sans Light"/>
                <w:b/>
                <w:sz w:val="22"/>
                <w:szCs w:val="22"/>
              </w:rPr>
              <w:t xml:space="preserve">Standard 3: Safety: </w:t>
            </w:r>
          </w:p>
          <w:p w14:paraId="7B157587" w14:textId="501A4B35" w:rsidR="000D3AF2" w:rsidRPr="00EA5E52" w:rsidRDefault="00EA5E52" w:rsidP="00B450E0">
            <w:pPr>
              <w:shd w:val="clear" w:color="auto" w:fill="FFFFFF"/>
              <w:tabs>
                <w:tab w:val="left" w:pos="360"/>
              </w:tabs>
              <w:rPr>
                <w:rFonts w:ascii="Open Sans Light" w:eastAsia="Open Sans Light" w:hAnsi="Open Sans Light" w:cs="Open Sans Light"/>
                <w:bCs/>
                <w:sz w:val="22"/>
                <w:szCs w:val="22"/>
              </w:rPr>
            </w:pPr>
            <w:r w:rsidRPr="00EA5E52">
              <w:rPr>
                <w:rFonts w:ascii="Open Sans Light" w:eastAsia="Open Sans Light" w:hAnsi="Open Sans Light" w:cs="Open Sans Light"/>
                <w:bCs/>
                <w:sz w:val="22"/>
                <w:szCs w:val="22"/>
              </w:rPr>
              <w:t>Effective teachers of science demonstrate and implement safety procedures, material safety practices, and the ethical treatment and use of living organisms (appropriate to their area of licensure)</w:t>
            </w:r>
            <w:r w:rsidR="000D3AF2" w:rsidRPr="00EA5E52">
              <w:rPr>
                <w:rFonts w:ascii="Open Sans Light" w:eastAsia="Open Sans Light" w:hAnsi="Open Sans Light" w:cs="Open Sans Light"/>
                <w:bCs/>
                <w:sz w:val="22"/>
                <w:szCs w:val="22"/>
              </w:rPr>
              <w:t>.</w:t>
            </w:r>
          </w:p>
          <w:p w14:paraId="014AC2B1" w14:textId="77777777" w:rsidR="000D3AF2" w:rsidRPr="00D27E2B" w:rsidRDefault="000D3AF2" w:rsidP="00B450E0">
            <w:pPr>
              <w:shd w:val="clear" w:color="auto" w:fill="FFFFFF"/>
              <w:tabs>
                <w:tab w:val="left" w:pos="360"/>
              </w:tabs>
              <w:rPr>
                <w:rFonts w:ascii="Open Sans Light" w:eastAsia="Open Sans Light" w:hAnsi="Open Sans Light" w:cs="Open Sans Light"/>
                <w:bCs/>
                <w:sz w:val="22"/>
                <w:szCs w:val="22"/>
              </w:rPr>
            </w:pPr>
          </w:p>
          <w:p w14:paraId="2C1BC383" w14:textId="77777777" w:rsidR="000D3AF2" w:rsidRPr="007F1B6D" w:rsidRDefault="000D3AF2" w:rsidP="00B450E0">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40284FCF" w14:textId="77777777" w:rsidR="000D3AF2" w:rsidRPr="007F1B6D" w:rsidRDefault="0085522C" w:rsidP="00B450E0">
            <w:pPr>
              <w:rPr>
                <w:rFonts w:ascii="Open Sans Light" w:eastAsia="Open Sans Light" w:hAnsi="Open Sans Light" w:cs="Open Sans Light"/>
                <w:sz w:val="22"/>
                <w:szCs w:val="22"/>
              </w:rPr>
            </w:pPr>
            <w:sdt>
              <w:sdtPr>
                <w:rPr>
                  <w:sz w:val="22"/>
                  <w:szCs w:val="22"/>
                </w:rPr>
                <w:tag w:val="goog_rdk_19"/>
                <w:id w:val="1133756730"/>
              </w:sdtPr>
              <w:sdtEndPr/>
              <w:sdtContent/>
            </w:sdt>
            <w:r w:rsidR="000D3AF2" w:rsidRPr="007F1B6D">
              <w:rPr>
                <w:rFonts w:ascii="Open Sans Light" w:eastAsia="Open Sans Light" w:hAnsi="Open Sans Light" w:cs="Open Sans Light"/>
                <w:sz w:val="22"/>
                <w:szCs w:val="22"/>
              </w:rPr>
              <w:t>[enter text here]</w:t>
            </w:r>
          </w:p>
        </w:tc>
      </w:tr>
    </w:tbl>
    <w:p w14:paraId="0E833D42" w14:textId="77777777" w:rsidR="000D3AF2" w:rsidRPr="00AA1246" w:rsidRDefault="000D3AF2" w:rsidP="000D3AF2">
      <w:pPr>
        <w:rPr>
          <w:rFonts w:ascii="Open Sans Light" w:eastAsia="Open Sans Light" w:hAnsi="Open Sans Light" w:cs="Open Sans Light"/>
          <w:b/>
          <w:sz w:val="22"/>
          <w:szCs w:val="22"/>
        </w:rPr>
      </w:pPr>
    </w:p>
    <w:p w14:paraId="5BD1BECD" w14:textId="77777777" w:rsidR="000D3AF2" w:rsidRPr="00AA1246" w:rsidRDefault="000D3AF2" w:rsidP="000D3AF2">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1891B6A9" w14:textId="77777777" w:rsidR="000D3AF2" w:rsidRPr="00D27E2B" w:rsidRDefault="000D3AF2" w:rsidP="000D3AF2">
      <w:pPr>
        <w:rPr>
          <w:rFonts w:ascii="Open Sans Light" w:eastAsia="Open Sans Light" w:hAnsi="Open Sans Light" w:cs="Open Sans Light"/>
          <w:b/>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D3AF2" w:rsidRPr="007F1B6D" w14:paraId="0E874A3F" w14:textId="77777777" w:rsidTr="00B450E0">
        <w:tc>
          <w:tcPr>
            <w:tcW w:w="9360" w:type="dxa"/>
          </w:tcPr>
          <w:p w14:paraId="150780DB" w14:textId="77777777" w:rsidR="00EA5E52" w:rsidRDefault="00EA5E52" w:rsidP="00B450E0">
            <w:pPr>
              <w:shd w:val="clear" w:color="auto" w:fill="FFFFFF"/>
              <w:tabs>
                <w:tab w:val="left" w:pos="360"/>
              </w:tabs>
              <w:rPr>
                <w:rFonts w:ascii="Open Sans Light" w:eastAsia="Open Sans Light" w:hAnsi="Open Sans Light" w:cs="Open Sans Light"/>
                <w:b/>
                <w:sz w:val="22"/>
                <w:szCs w:val="22"/>
              </w:rPr>
            </w:pPr>
            <w:r w:rsidRPr="00EA5E52">
              <w:rPr>
                <w:rFonts w:ascii="Open Sans Light" w:eastAsia="Open Sans Light" w:hAnsi="Open Sans Light" w:cs="Open Sans Light"/>
                <w:b/>
                <w:sz w:val="22"/>
                <w:szCs w:val="22"/>
              </w:rPr>
              <w:t xml:space="preserve">Standard 4: Impact on Student Learning: </w:t>
            </w:r>
          </w:p>
          <w:p w14:paraId="25CDB246" w14:textId="6F9DD529" w:rsidR="000D3AF2" w:rsidRPr="00EA5E52" w:rsidRDefault="00EA5E52" w:rsidP="00B450E0">
            <w:pPr>
              <w:shd w:val="clear" w:color="auto" w:fill="FFFFFF"/>
              <w:tabs>
                <w:tab w:val="left" w:pos="360"/>
              </w:tabs>
              <w:rPr>
                <w:rFonts w:ascii="Open Sans Light" w:eastAsia="Open Sans Light" w:hAnsi="Open Sans Light" w:cs="Open Sans Light"/>
                <w:bCs/>
                <w:sz w:val="22"/>
                <w:szCs w:val="22"/>
              </w:rPr>
            </w:pPr>
            <w:r w:rsidRPr="00EA5E52">
              <w:rPr>
                <w:rFonts w:ascii="Open Sans Light" w:eastAsia="Open Sans Light" w:hAnsi="Open Sans Light" w:cs="Open Sans Light"/>
                <w:bCs/>
                <w:sz w:val="22"/>
                <w:szCs w:val="22"/>
              </w:rPr>
              <w:t>Science teachers provide evidence that students’ understanding of disciplinary core ideas, science and engineering practices, and crosscutting concepts have increased in sophistication as a result of instruction. Candidates provide evidence representative of the entire population they teach.</w:t>
            </w:r>
          </w:p>
          <w:p w14:paraId="5F3CDDE7" w14:textId="77777777" w:rsidR="000D3AF2" w:rsidRPr="00D27E2B" w:rsidRDefault="000D3AF2" w:rsidP="00B450E0">
            <w:pPr>
              <w:shd w:val="clear" w:color="auto" w:fill="FFFFFF"/>
              <w:tabs>
                <w:tab w:val="left" w:pos="360"/>
              </w:tabs>
              <w:rPr>
                <w:rFonts w:ascii="Open Sans Light" w:eastAsia="Open Sans Light" w:hAnsi="Open Sans Light" w:cs="Open Sans Light"/>
                <w:bCs/>
                <w:sz w:val="22"/>
                <w:szCs w:val="22"/>
              </w:rPr>
            </w:pPr>
          </w:p>
          <w:p w14:paraId="3D19C2C8" w14:textId="77777777" w:rsidR="000D3AF2" w:rsidRPr="007F1B6D" w:rsidRDefault="000D3AF2" w:rsidP="00B450E0">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05240A9" w14:textId="77777777" w:rsidR="000D3AF2" w:rsidRPr="007F1B6D" w:rsidRDefault="0085522C" w:rsidP="00B450E0">
            <w:pPr>
              <w:rPr>
                <w:rFonts w:ascii="Open Sans Light" w:eastAsia="Open Sans Light" w:hAnsi="Open Sans Light" w:cs="Open Sans Light"/>
                <w:sz w:val="22"/>
                <w:szCs w:val="22"/>
              </w:rPr>
            </w:pPr>
            <w:sdt>
              <w:sdtPr>
                <w:rPr>
                  <w:sz w:val="22"/>
                  <w:szCs w:val="22"/>
                </w:rPr>
                <w:tag w:val="goog_rdk_19"/>
                <w:id w:val="1137294295"/>
              </w:sdtPr>
              <w:sdtEndPr/>
              <w:sdtContent/>
            </w:sdt>
            <w:r w:rsidR="000D3AF2" w:rsidRPr="007F1B6D">
              <w:rPr>
                <w:rFonts w:ascii="Open Sans Light" w:eastAsia="Open Sans Light" w:hAnsi="Open Sans Light" w:cs="Open Sans Light"/>
                <w:sz w:val="22"/>
                <w:szCs w:val="22"/>
              </w:rPr>
              <w:t>[enter text here]</w:t>
            </w:r>
          </w:p>
        </w:tc>
      </w:tr>
    </w:tbl>
    <w:p w14:paraId="773804DC" w14:textId="77777777" w:rsidR="000D3AF2" w:rsidRPr="00AA1246" w:rsidRDefault="000D3AF2" w:rsidP="000D3AF2">
      <w:pPr>
        <w:rPr>
          <w:rFonts w:ascii="Open Sans Light" w:eastAsia="Open Sans Light" w:hAnsi="Open Sans Light" w:cs="Open Sans Light"/>
          <w:b/>
          <w:sz w:val="22"/>
          <w:szCs w:val="22"/>
        </w:rPr>
      </w:pPr>
    </w:p>
    <w:p w14:paraId="3B1F720B" w14:textId="77777777" w:rsidR="000D3AF2" w:rsidRPr="00AA1246" w:rsidRDefault="000D3AF2" w:rsidP="000D3AF2">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4066EF3B" w14:textId="77777777" w:rsidR="000D3AF2" w:rsidRPr="00D27E2B" w:rsidRDefault="000D3AF2" w:rsidP="000D3AF2">
      <w:pPr>
        <w:rPr>
          <w:rFonts w:ascii="Open Sans Light" w:eastAsia="Open Sans Light" w:hAnsi="Open Sans Light" w:cs="Open Sans Light"/>
          <w:b/>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D3AF2" w:rsidRPr="007F1B6D" w14:paraId="04ADE355" w14:textId="77777777" w:rsidTr="00B450E0">
        <w:tc>
          <w:tcPr>
            <w:tcW w:w="9360" w:type="dxa"/>
          </w:tcPr>
          <w:p w14:paraId="53631AFE" w14:textId="77777777" w:rsidR="00EA5E52" w:rsidRDefault="00EA5E52" w:rsidP="00B450E0">
            <w:pPr>
              <w:shd w:val="clear" w:color="auto" w:fill="FFFFFF"/>
              <w:tabs>
                <w:tab w:val="left" w:pos="360"/>
              </w:tabs>
              <w:rPr>
                <w:rFonts w:ascii="Open Sans Light" w:eastAsia="Open Sans Light" w:hAnsi="Open Sans Light" w:cs="Open Sans Light"/>
                <w:b/>
                <w:sz w:val="22"/>
                <w:szCs w:val="22"/>
              </w:rPr>
            </w:pPr>
            <w:r w:rsidRPr="00EA5E52">
              <w:rPr>
                <w:rFonts w:ascii="Open Sans Light" w:eastAsia="Open Sans Light" w:hAnsi="Open Sans Light" w:cs="Open Sans Light"/>
                <w:b/>
                <w:sz w:val="22"/>
                <w:szCs w:val="22"/>
              </w:rPr>
              <w:t xml:space="preserve">Standard 5: Professional Knowledge and Skills: </w:t>
            </w:r>
          </w:p>
          <w:p w14:paraId="0BFC486A" w14:textId="1C0F6927" w:rsidR="000D3AF2" w:rsidRPr="00EA5E52" w:rsidRDefault="00EA5E52" w:rsidP="00B450E0">
            <w:pPr>
              <w:shd w:val="clear" w:color="auto" w:fill="FFFFFF"/>
              <w:tabs>
                <w:tab w:val="left" w:pos="360"/>
              </w:tabs>
              <w:rPr>
                <w:rFonts w:ascii="Open Sans Light" w:eastAsia="Open Sans Light" w:hAnsi="Open Sans Light" w:cs="Open Sans Light"/>
                <w:bCs/>
                <w:sz w:val="22"/>
                <w:szCs w:val="22"/>
              </w:rPr>
            </w:pPr>
            <w:r w:rsidRPr="00EA5E52">
              <w:rPr>
                <w:rFonts w:ascii="Open Sans Light" w:eastAsia="Open Sans Light" w:hAnsi="Open Sans Light" w:cs="Open Sans Light"/>
                <w:bCs/>
                <w:sz w:val="22"/>
                <w:szCs w:val="22"/>
              </w:rPr>
              <w:t>Effective science teachers are aware of and engage in professional development opportunities to continually improve their knowledge and understanding of science content and pedagogy. They conduct themselves as part of the science education community.</w:t>
            </w:r>
          </w:p>
          <w:p w14:paraId="6872B8BD" w14:textId="77777777" w:rsidR="000D3AF2" w:rsidRPr="00D27E2B" w:rsidRDefault="000D3AF2" w:rsidP="00B450E0">
            <w:pPr>
              <w:shd w:val="clear" w:color="auto" w:fill="FFFFFF"/>
              <w:tabs>
                <w:tab w:val="left" w:pos="360"/>
              </w:tabs>
              <w:rPr>
                <w:rFonts w:ascii="Open Sans Light" w:eastAsia="Open Sans Light" w:hAnsi="Open Sans Light" w:cs="Open Sans Light"/>
                <w:bCs/>
                <w:sz w:val="22"/>
                <w:szCs w:val="22"/>
              </w:rPr>
            </w:pPr>
          </w:p>
          <w:p w14:paraId="14260746" w14:textId="77777777" w:rsidR="000D3AF2" w:rsidRPr="007F1B6D" w:rsidRDefault="000D3AF2" w:rsidP="00B450E0">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1F1CF64" w14:textId="4D896459" w:rsidR="000D3AF2" w:rsidRPr="007F1B6D" w:rsidRDefault="000D3AF2" w:rsidP="00B450E0">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1DF6E99B" w14:textId="77777777" w:rsidR="000D3AF2" w:rsidRPr="00AA1246" w:rsidRDefault="000D3AF2" w:rsidP="000D3AF2">
      <w:pPr>
        <w:rPr>
          <w:rFonts w:ascii="Open Sans Light" w:eastAsia="Open Sans Light" w:hAnsi="Open Sans Light" w:cs="Open Sans Light"/>
          <w:b/>
          <w:sz w:val="22"/>
          <w:szCs w:val="22"/>
        </w:rPr>
      </w:pPr>
    </w:p>
    <w:p w14:paraId="246C9BDA" w14:textId="77777777" w:rsidR="000D3AF2" w:rsidRPr="00AA1246" w:rsidRDefault="000D3AF2" w:rsidP="000D3AF2">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75A3CB0A" w14:textId="77777777" w:rsidR="000D3AF2" w:rsidRPr="00D27E2B" w:rsidRDefault="000D3AF2" w:rsidP="000D3AF2">
      <w:pPr>
        <w:rPr>
          <w:rFonts w:ascii="Open Sans Light" w:eastAsia="Open Sans Light" w:hAnsi="Open Sans Light" w:cs="Open Sans Light"/>
          <w:b/>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D3AF2" w:rsidRPr="007F1B6D" w14:paraId="76B32EA2" w14:textId="77777777" w:rsidTr="00B450E0">
        <w:tc>
          <w:tcPr>
            <w:tcW w:w="9360" w:type="dxa"/>
          </w:tcPr>
          <w:p w14:paraId="06E4AB13" w14:textId="77777777" w:rsidR="00EA5E52" w:rsidRDefault="00EA5E52" w:rsidP="00B450E0">
            <w:pPr>
              <w:shd w:val="clear" w:color="auto" w:fill="FFFFFF"/>
              <w:tabs>
                <w:tab w:val="left" w:pos="360"/>
              </w:tabs>
              <w:rPr>
                <w:rFonts w:ascii="Open Sans Light" w:eastAsia="Open Sans Light" w:hAnsi="Open Sans Light" w:cs="Open Sans Light"/>
                <w:b/>
                <w:sz w:val="22"/>
                <w:szCs w:val="22"/>
              </w:rPr>
            </w:pPr>
            <w:r w:rsidRPr="00EA5E52">
              <w:rPr>
                <w:rFonts w:ascii="Open Sans Light" w:eastAsia="Open Sans Light" w:hAnsi="Open Sans Light" w:cs="Open Sans Light"/>
                <w:b/>
                <w:sz w:val="22"/>
                <w:szCs w:val="22"/>
              </w:rPr>
              <w:t xml:space="preserve">Standard 6: Engineering, Technology, and the Applications of Science: </w:t>
            </w:r>
          </w:p>
          <w:p w14:paraId="500308A1" w14:textId="79EFFDB3" w:rsidR="000D3AF2" w:rsidRPr="00EA5E52" w:rsidRDefault="00EA5E52" w:rsidP="00B450E0">
            <w:pPr>
              <w:shd w:val="clear" w:color="auto" w:fill="FFFFFF"/>
              <w:tabs>
                <w:tab w:val="left" w:pos="360"/>
              </w:tabs>
              <w:rPr>
                <w:rFonts w:ascii="Open Sans Light" w:eastAsia="Open Sans Light" w:hAnsi="Open Sans Light" w:cs="Open Sans Light"/>
                <w:bCs/>
                <w:sz w:val="22"/>
                <w:szCs w:val="22"/>
              </w:rPr>
            </w:pPr>
            <w:r w:rsidRPr="00EA5E52">
              <w:rPr>
                <w:rFonts w:ascii="Open Sans Light" w:eastAsia="Open Sans Light" w:hAnsi="Open Sans Light" w:cs="Open Sans Light"/>
                <w:bCs/>
                <w:sz w:val="22"/>
                <w:szCs w:val="22"/>
              </w:rPr>
              <w:t>The teacher demonstrates an understanding of concepts and practices of engineering, technology, and the applications of science in developing instruction for students.</w:t>
            </w:r>
          </w:p>
          <w:p w14:paraId="15EB2B7C" w14:textId="77777777" w:rsidR="00EA5E52" w:rsidRPr="00EA5E52" w:rsidRDefault="00EA5E52" w:rsidP="00B450E0">
            <w:pPr>
              <w:shd w:val="clear" w:color="auto" w:fill="FFFFFF"/>
              <w:tabs>
                <w:tab w:val="left" w:pos="360"/>
              </w:tabs>
              <w:rPr>
                <w:rFonts w:ascii="Open Sans Light" w:eastAsia="Open Sans Light" w:hAnsi="Open Sans Light" w:cs="Open Sans Light"/>
                <w:bCs/>
                <w:sz w:val="22"/>
                <w:szCs w:val="22"/>
              </w:rPr>
            </w:pPr>
          </w:p>
          <w:p w14:paraId="1F6EFB22" w14:textId="77777777" w:rsidR="000D3AF2" w:rsidRPr="007F1B6D" w:rsidRDefault="000D3AF2" w:rsidP="00B450E0">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7FA4F761" w14:textId="77777777" w:rsidR="000D3AF2" w:rsidRPr="007F1B6D" w:rsidRDefault="0085522C" w:rsidP="00B450E0">
            <w:pPr>
              <w:rPr>
                <w:rFonts w:ascii="Open Sans Light" w:eastAsia="Open Sans Light" w:hAnsi="Open Sans Light" w:cs="Open Sans Light"/>
                <w:sz w:val="22"/>
                <w:szCs w:val="22"/>
              </w:rPr>
            </w:pPr>
            <w:sdt>
              <w:sdtPr>
                <w:rPr>
                  <w:sz w:val="22"/>
                  <w:szCs w:val="22"/>
                </w:rPr>
                <w:tag w:val="goog_rdk_19"/>
                <w:id w:val="-1761906646"/>
              </w:sdtPr>
              <w:sdtEndPr/>
              <w:sdtContent/>
            </w:sdt>
            <w:r w:rsidR="000D3AF2" w:rsidRPr="007F1B6D">
              <w:rPr>
                <w:rFonts w:ascii="Open Sans Light" w:eastAsia="Open Sans Light" w:hAnsi="Open Sans Light" w:cs="Open Sans Light"/>
                <w:sz w:val="22"/>
                <w:szCs w:val="22"/>
              </w:rPr>
              <w:t>[enter text here]</w:t>
            </w:r>
          </w:p>
        </w:tc>
      </w:tr>
    </w:tbl>
    <w:p w14:paraId="5310FA5B" w14:textId="77777777" w:rsidR="000D3AF2" w:rsidRPr="00AA1246" w:rsidRDefault="000D3AF2" w:rsidP="000D3AF2">
      <w:pPr>
        <w:rPr>
          <w:rFonts w:ascii="Open Sans Light" w:eastAsia="Open Sans Light" w:hAnsi="Open Sans Light" w:cs="Open Sans Light"/>
          <w:b/>
          <w:sz w:val="22"/>
          <w:szCs w:val="22"/>
        </w:rPr>
      </w:pPr>
    </w:p>
    <w:p w14:paraId="4D61587D" w14:textId="77777777" w:rsidR="000D3AF2" w:rsidRPr="00AA1246" w:rsidRDefault="000D3AF2" w:rsidP="000D3AF2">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7F060F90" w14:textId="77777777" w:rsidR="000D3AF2" w:rsidRDefault="000D3AF2" w:rsidP="000D3AF2">
      <w:pPr>
        <w:rPr>
          <w:rFonts w:ascii="Open Sans Light" w:eastAsia="Open Sans Light" w:hAnsi="Open Sans Light" w:cs="Open Sans Light"/>
          <w:b/>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D3AF2" w:rsidRPr="007F1B6D" w14:paraId="2492457E" w14:textId="77777777" w:rsidTr="00B450E0">
        <w:tc>
          <w:tcPr>
            <w:tcW w:w="9360" w:type="dxa"/>
          </w:tcPr>
          <w:p w14:paraId="2CF089E2" w14:textId="77777777" w:rsidR="00EA5E52" w:rsidRDefault="00EA5E52" w:rsidP="00B450E0">
            <w:pPr>
              <w:shd w:val="clear" w:color="auto" w:fill="FFFFFF"/>
              <w:tabs>
                <w:tab w:val="left" w:pos="360"/>
              </w:tabs>
              <w:rPr>
                <w:rFonts w:ascii="Open Sans Light" w:eastAsia="Open Sans Light" w:hAnsi="Open Sans Light" w:cs="Open Sans Light"/>
                <w:b/>
                <w:sz w:val="22"/>
                <w:szCs w:val="22"/>
              </w:rPr>
            </w:pPr>
            <w:r w:rsidRPr="00EA5E52">
              <w:rPr>
                <w:rFonts w:ascii="Open Sans Light" w:eastAsia="Open Sans Light" w:hAnsi="Open Sans Light" w:cs="Open Sans Light"/>
                <w:b/>
                <w:sz w:val="22"/>
                <w:szCs w:val="22"/>
              </w:rPr>
              <w:t xml:space="preserve">Standard 7: Earth’s Place in the Universe: </w:t>
            </w:r>
          </w:p>
          <w:p w14:paraId="7CF91615" w14:textId="22E65D8C" w:rsidR="000D3AF2" w:rsidRPr="00EA5E52" w:rsidRDefault="00EA5E52" w:rsidP="00B450E0">
            <w:pPr>
              <w:shd w:val="clear" w:color="auto" w:fill="FFFFFF"/>
              <w:tabs>
                <w:tab w:val="left" w:pos="360"/>
              </w:tabs>
              <w:rPr>
                <w:rFonts w:ascii="Open Sans Light" w:eastAsia="Open Sans Light" w:hAnsi="Open Sans Light" w:cs="Open Sans Light"/>
                <w:bCs/>
                <w:sz w:val="22"/>
                <w:szCs w:val="22"/>
              </w:rPr>
            </w:pPr>
            <w:r w:rsidRPr="00EA5E52">
              <w:rPr>
                <w:rFonts w:ascii="Open Sans Light" w:eastAsia="Open Sans Light" w:hAnsi="Open Sans Light" w:cs="Open Sans Light"/>
                <w:bCs/>
                <w:sz w:val="22"/>
                <w:szCs w:val="22"/>
              </w:rPr>
              <w:t>Origin, evolution and properties of the Universe. Effective science teachers demonstrate an understanding of the properties of the Universe, the Earth’s place within the Universe, and origin and evolution of the Universe.</w:t>
            </w:r>
          </w:p>
          <w:p w14:paraId="7AD11046" w14:textId="77777777" w:rsidR="000D3AF2" w:rsidRPr="00D27E2B" w:rsidRDefault="000D3AF2" w:rsidP="00B450E0">
            <w:pPr>
              <w:shd w:val="clear" w:color="auto" w:fill="FFFFFF"/>
              <w:tabs>
                <w:tab w:val="left" w:pos="360"/>
              </w:tabs>
              <w:rPr>
                <w:rFonts w:ascii="Open Sans Light" w:eastAsia="Open Sans Light" w:hAnsi="Open Sans Light" w:cs="Open Sans Light"/>
                <w:bCs/>
                <w:sz w:val="22"/>
                <w:szCs w:val="22"/>
              </w:rPr>
            </w:pPr>
          </w:p>
          <w:p w14:paraId="416A35F4" w14:textId="77777777" w:rsidR="000D3AF2" w:rsidRPr="007F1B6D" w:rsidRDefault="000D3AF2" w:rsidP="00B450E0">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2A4BA78" w14:textId="77777777" w:rsidR="000D3AF2" w:rsidRPr="007F1B6D" w:rsidRDefault="0085522C" w:rsidP="00B450E0">
            <w:pPr>
              <w:rPr>
                <w:rFonts w:ascii="Open Sans Light" w:eastAsia="Open Sans Light" w:hAnsi="Open Sans Light" w:cs="Open Sans Light"/>
                <w:sz w:val="22"/>
                <w:szCs w:val="22"/>
              </w:rPr>
            </w:pPr>
            <w:sdt>
              <w:sdtPr>
                <w:rPr>
                  <w:sz w:val="22"/>
                  <w:szCs w:val="22"/>
                </w:rPr>
                <w:tag w:val="goog_rdk_19"/>
                <w:id w:val="-1018852814"/>
              </w:sdtPr>
              <w:sdtEndPr/>
              <w:sdtContent/>
            </w:sdt>
            <w:r w:rsidR="000D3AF2" w:rsidRPr="007F1B6D">
              <w:rPr>
                <w:rFonts w:ascii="Open Sans Light" w:eastAsia="Open Sans Light" w:hAnsi="Open Sans Light" w:cs="Open Sans Light"/>
                <w:sz w:val="22"/>
                <w:szCs w:val="22"/>
              </w:rPr>
              <w:t>[enter text here]</w:t>
            </w:r>
          </w:p>
        </w:tc>
      </w:tr>
    </w:tbl>
    <w:p w14:paraId="1A80B995" w14:textId="77777777" w:rsidR="000D3AF2" w:rsidRPr="00AA1246" w:rsidRDefault="000D3AF2" w:rsidP="000D3AF2">
      <w:pPr>
        <w:rPr>
          <w:rFonts w:ascii="Open Sans Light" w:eastAsia="Open Sans Light" w:hAnsi="Open Sans Light" w:cs="Open Sans Light"/>
          <w:b/>
          <w:sz w:val="22"/>
          <w:szCs w:val="22"/>
        </w:rPr>
      </w:pPr>
    </w:p>
    <w:p w14:paraId="575C558E" w14:textId="77777777" w:rsidR="000D3AF2" w:rsidRPr="00AA1246" w:rsidRDefault="000D3AF2" w:rsidP="000D3AF2">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C4B0CEB" w14:textId="77777777" w:rsidR="000D3AF2" w:rsidRPr="00D27E2B" w:rsidRDefault="000D3AF2" w:rsidP="000D3AF2">
      <w:pPr>
        <w:rPr>
          <w:rFonts w:ascii="Open Sans Light" w:eastAsia="Open Sans Light" w:hAnsi="Open Sans Light" w:cs="Open Sans Light"/>
          <w:b/>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D3AF2" w:rsidRPr="007F1B6D" w14:paraId="7B15F7DF" w14:textId="77777777" w:rsidTr="00B450E0">
        <w:tc>
          <w:tcPr>
            <w:tcW w:w="9360" w:type="dxa"/>
          </w:tcPr>
          <w:p w14:paraId="6C396A49" w14:textId="77777777" w:rsidR="00EA5E52" w:rsidRDefault="00EA5E52" w:rsidP="00B450E0">
            <w:pPr>
              <w:shd w:val="clear" w:color="auto" w:fill="FFFFFF"/>
              <w:tabs>
                <w:tab w:val="left" w:pos="360"/>
              </w:tabs>
              <w:rPr>
                <w:rFonts w:ascii="Open Sans Light" w:eastAsia="Open Sans Light" w:hAnsi="Open Sans Light" w:cs="Open Sans Light"/>
                <w:b/>
                <w:sz w:val="22"/>
                <w:szCs w:val="22"/>
              </w:rPr>
            </w:pPr>
            <w:r w:rsidRPr="00EA5E52">
              <w:rPr>
                <w:rFonts w:ascii="Open Sans Light" w:eastAsia="Open Sans Light" w:hAnsi="Open Sans Light" w:cs="Open Sans Light"/>
                <w:b/>
                <w:sz w:val="22"/>
                <w:szCs w:val="22"/>
              </w:rPr>
              <w:t xml:space="preserve">Standard 8: Earth’s Materials and Systems: </w:t>
            </w:r>
          </w:p>
          <w:p w14:paraId="71AD5036" w14:textId="71AF7232" w:rsidR="000D3AF2" w:rsidRPr="00EA5E52" w:rsidRDefault="00EA5E52" w:rsidP="00B450E0">
            <w:pPr>
              <w:shd w:val="clear" w:color="auto" w:fill="FFFFFF"/>
              <w:tabs>
                <w:tab w:val="left" w:pos="360"/>
              </w:tabs>
              <w:rPr>
                <w:rFonts w:ascii="Open Sans Light" w:eastAsia="Open Sans Light" w:hAnsi="Open Sans Light" w:cs="Open Sans Light"/>
                <w:bCs/>
                <w:sz w:val="22"/>
                <w:szCs w:val="22"/>
              </w:rPr>
            </w:pPr>
            <w:r w:rsidRPr="00EA5E52">
              <w:rPr>
                <w:rFonts w:ascii="Open Sans Light" w:eastAsia="Open Sans Light" w:hAnsi="Open Sans Light" w:cs="Open Sans Light"/>
                <w:bCs/>
                <w:sz w:val="22"/>
                <w:szCs w:val="22"/>
              </w:rPr>
              <w:t>The teacher of earth and space science demonstrates an understanding of the energy sources, processes and cycles within the Earth System.</w:t>
            </w:r>
          </w:p>
          <w:p w14:paraId="20EB2606" w14:textId="77777777" w:rsidR="000D3AF2" w:rsidRPr="00D27E2B" w:rsidRDefault="000D3AF2" w:rsidP="00B450E0">
            <w:pPr>
              <w:shd w:val="clear" w:color="auto" w:fill="FFFFFF"/>
              <w:tabs>
                <w:tab w:val="left" w:pos="360"/>
              </w:tabs>
              <w:rPr>
                <w:rFonts w:ascii="Open Sans Light" w:eastAsia="Open Sans Light" w:hAnsi="Open Sans Light" w:cs="Open Sans Light"/>
                <w:bCs/>
                <w:sz w:val="22"/>
                <w:szCs w:val="22"/>
              </w:rPr>
            </w:pPr>
          </w:p>
          <w:p w14:paraId="781E7823" w14:textId="77777777" w:rsidR="000D3AF2" w:rsidRPr="007F1B6D" w:rsidRDefault="000D3AF2" w:rsidP="00B450E0">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43F3CD40" w14:textId="211F2215" w:rsidR="000D3AF2" w:rsidRPr="007F1B6D" w:rsidRDefault="000D3AF2" w:rsidP="00B450E0">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14D32E3C" w14:textId="77777777" w:rsidR="000D3AF2" w:rsidRPr="00AA1246" w:rsidRDefault="000D3AF2" w:rsidP="000D3AF2">
      <w:pPr>
        <w:rPr>
          <w:rFonts w:ascii="Open Sans Light" w:eastAsia="Open Sans Light" w:hAnsi="Open Sans Light" w:cs="Open Sans Light"/>
          <w:b/>
          <w:sz w:val="22"/>
          <w:szCs w:val="22"/>
        </w:rPr>
      </w:pPr>
    </w:p>
    <w:p w14:paraId="04A16FF8" w14:textId="77777777" w:rsidR="000D3AF2" w:rsidRPr="00AA1246" w:rsidRDefault="000D3AF2" w:rsidP="000D3AF2">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4D66C61E" w:rsidR="006604E6" w:rsidRDefault="00D27E2B">
    <w:pPr>
      <w:pBdr>
        <w:top w:val="nil"/>
        <w:left w:val="nil"/>
        <w:bottom w:val="nil"/>
        <w:right w:val="nil"/>
        <w:between w:val="nil"/>
      </w:pBdr>
      <w:tabs>
        <w:tab w:val="center" w:pos="4320"/>
        <w:tab w:val="right" w:pos="8640"/>
        <w:tab w:val="right" w:pos="9180"/>
        <w:tab w:val="right" w:pos="12780"/>
      </w:tabs>
      <w:ind w:right="360"/>
      <w:rPr>
        <w:b/>
        <w:color w:val="000000"/>
      </w:rPr>
    </w:pPr>
    <w:r>
      <w:rPr>
        <w:b/>
      </w:rPr>
      <w:t>Earth and Space Science, 2016 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0D3AF2"/>
    <w:rsid w:val="001548B9"/>
    <w:rsid w:val="001C5078"/>
    <w:rsid w:val="00285319"/>
    <w:rsid w:val="003470D2"/>
    <w:rsid w:val="00442E2F"/>
    <w:rsid w:val="004440E7"/>
    <w:rsid w:val="004944DB"/>
    <w:rsid w:val="006604E6"/>
    <w:rsid w:val="00765ADD"/>
    <w:rsid w:val="007F1B6D"/>
    <w:rsid w:val="00820072"/>
    <w:rsid w:val="00820AB3"/>
    <w:rsid w:val="0085522C"/>
    <w:rsid w:val="00882718"/>
    <w:rsid w:val="008E3C49"/>
    <w:rsid w:val="009767DE"/>
    <w:rsid w:val="00AA1246"/>
    <w:rsid w:val="00BC494B"/>
    <w:rsid w:val="00BC5058"/>
    <w:rsid w:val="00BD7C64"/>
    <w:rsid w:val="00C23CA4"/>
    <w:rsid w:val="00C762F4"/>
    <w:rsid w:val="00CB2464"/>
    <w:rsid w:val="00CF68AC"/>
    <w:rsid w:val="00D03356"/>
    <w:rsid w:val="00D13CC9"/>
    <w:rsid w:val="00D27E2B"/>
    <w:rsid w:val="00DB430A"/>
    <w:rsid w:val="00DD1645"/>
    <w:rsid w:val="00EA5E52"/>
    <w:rsid w:val="00EB6F2F"/>
    <w:rsid w:val="00ED382E"/>
    <w:rsid w:val="00EE755B"/>
    <w:rsid w:val="00F212D3"/>
    <w:rsid w:val="00F51028"/>
    <w:rsid w:val="00F729B4"/>
    <w:rsid w:val="00F8564A"/>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AF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5</cp:revision>
  <dcterms:created xsi:type="dcterms:W3CDTF">2025-09-25T19:53:00Z</dcterms:created>
  <dcterms:modified xsi:type="dcterms:W3CDTF">2025-09-25T20:20:00Z</dcterms:modified>
</cp:coreProperties>
</file>